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B99" w:rsidRDefault="00436B99" w:rsidP="003B501F">
      <w:pPr>
        <w:jc w:val="center"/>
        <w:rPr>
          <w:rFonts w:ascii="Times New Roman" w:hAnsi="Times New Roman" w:cs="Times New Roman"/>
          <w:b/>
          <w:bCs/>
          <w:sz w:val="24"/>
          <w:szCs w:val="24"/>
        </w:rPr>
      </w:pPr>
      <w:r>
        <w:rPr>
          <w:rFonts w:ascii="Times New Roman" w:hAnsi="Times New Roman" w:cs="Times New Roman"/>
          <w:b/>
          <w:bCs/>
          <w:sz w:val="24"/>
          <w:szCs w:val="24"/>
        </w:rPr>
        <w:t>172</w:t>
      </w:r>
    </w:p>
    <w:p w:rsidR="00436B99" w:rsidRDefault="00436B99" w:rsidP="003B501F">
      <w:pPr>
        <w:jc w:val="center"/>
        <w:rPr>
          <w:rFonts w:ascii="Times New Roman" w:hAnsi="Times New Roman" w:cs="Times New Roman"/>
          <w:b/>
          <w:bCs/>
          <w:sz w:val="24"/>
          <w:szCs w:val="24"/>
        </w:rPr>
      </w:pPr>
    </w:p>
    <w:p w:rsidR="003B501F" w:rsidRPr="0057326F" w:rsidRDefault="0057326F" w:rsidP="003B501F">
      <w:pPr>
        <w:jc w:val="center"/>
        <w:rPr>
          <w:rFonts w:ascii="Times New Roman" w:hAnsi="Times New Roman" w:cs="Times New Roman"/>
          <w:b/>
          <w:bCs/>
          <w:sz w:val="24"/>
          <w:szCs w:val="24"/>
        </w:rPr>
      </w:pPr>
      <w:r w:rsidRPr="0057326F">
        <w:rPr>
          <w:rFonts w:ascii="Times New Roman" w:hAnsi="Times New Roman" w:cs="Times New Roman"/>
          <w:b/>
          <w:bCs/>
          <w:sz w:val="24"/>
          <w:szCs w:val="24"/>
        </w:rPr>
        <w:t>Chapter Review</w:t>
      </w:r>
    </w:p>
    <w:p w:rsidR="00436B99" w:rsidRDefault="00436B99" w:rsidP="00436B99">
      <w:pPr>
        <w:spacing w:before="100" w:beforeAutospacing="1" w:after="0" w:line="360" w:lineRule="auto"/>
        <w:jc w:val="both"/>
        <w:rPr>
          <w:rFonts w:ascii="Times New Roman" w:eastAsia="Times New Roman" w:hAnsi="Times New Roman" w:cs="Times New Roman"/>
          <w:b/>
          <w:snapToGrid w:val="0"/>
          <w:spacing w:val="-2"/>
          <w:sz w:val="24"/>
          <w:szCs w:val="24"/>
        </w:rPr>
      </w:pPr>
      <w:r w:rsidRPr="00436B99">
        <w:rPr>
          <w:rFonts w:ascii="Times New Roman" w:eastAsia="Times New Roman" w:hAnsi="Times New Roman" w:cs="Times New Roman"/>
          <w:b/>
          <w:snapToGrid w:val="0"/>
          <w:spacing w:val="-2"/>
          <w:sz w:val="24"/>
          <w:szCs w:val="24"/>
        </w:rPr>
        <w:t>Electricity</w:t>
      </w:r>
      <w:r>
        <w:rPr>
          <w:rFonts w:ascii="Times New Roman" w:eastAsia="Times New Roman" w:hAnsi="Times New Roman" w:cs="Times New Roman"/>
          <w:b/>
          <w:snapToGrid w:val="0"/>
          <w:spacing w:val="-2"/>
          <w:sz w:val="24"/>
          <w:szCs w:val="24"/>
        </w:rPr>
        <w:t>:</w:t>
      </w:r>
    </w:p>
    <w:p w:rsidR="003B501F" w:rsidRPr="0057326F" w:rsidRDefault="003E0EE7" w:rsidP="00436B99">
      <w:pPr>
        <w:spacing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The electricity supply system in Sindh is divided into two major suppliers of electricity. First is Water and Power Development Authority (WAPDA) and</w:t>
      </w:r>
      <w:r w:rsidR="003547AF" w:rsidRPr="0057326F">
        <w:rPr>
          <w:rFonts w:ascii="Times New Roman" w:eastAsia="Times New Roman" w:hAnsi="Times New Roman" w:cs="Times New Roman"/>
          <w:snapToGrid w:val="0"/>
          <w:spacing w:val="-2"/>
          <w:sz w:val="24"/>
          <w:szCs w:val="24"/>
        </w:rPr>
        <w:t xml:space="preserve"> second is</w:t>
      </w:r>
      <w:r w:rsidRPr="0057326F">
        <w:rPr>
          <w:rFonts w:ascii="Times New Roman" w:eastAsia="Times New Roman" w:hAnsi="Times New Roman" w:cs="Times New Roman"/>
          <w:snapToGrid w:val="0"/>
          <w:spacing w:val="-2"/>
          <w:sz w:val="24"/>
          <w:szCs w:val="24"/>
        </w:rPr>
        <w:t xml:space="preserve"> Karachi Electric (KE). In Sind</w:t>
      </w:r>
      <w:r w:rsidR="003547AF" w:rsidRPr="0057326F">
        <w:rPr>
          <w:rFonts w:ascii="Times New Roman" w:eastAsia="Times New Roman" w:hAnsi="Times New Roman" w:cs="Times New Roman"/>
          <w:snapToGrid w:val="0"/>
          <w:spacing w:val="-2"/>
          <w:sz w:val="24"/>
          <w:szCs w:val="24"/>
        </w:rPr>
        <w:t>h</w:t>
      </w:r>
      <w:r w:rsidRPr="0057326F">
        <w:rPr>
          <w:rFonts w:ascii="Times New Roman" w:eastAsia="Times New Roman" w:hAnsi="Times New Roman" w:cs="Times New Roman"/>
          <w:snapToGrid w:val="0"/>
          <w:spacing w:val="-2"/>
          <w:sz w:val="24"/>
          <w:szCs w:val="24"/>
        </w:rPr>
        <w:t>, supply of electricity was started in Karachi in 1970-71 by the Karachi Electric Supply Corporation (K.E.S.C) which was oldest Government electric company of Pakistan. Later on KESC was privatized and electricity data is collected from Karachi Electric (KE) since 2012-13. Data for Sindh other than Karachi Division was collected from WAPDA from 1977-78. WAPDA generates electricity from national grids and feeds all the areas of Sindh except those are fed by Karachi Electric. KE is responsible for generation, transmission and distribution of electricity to Karachi Division and Industrial part of Thatta district.</w:t>
      </w:r>
    </w:p>
    <w:p w:rsidR="003E0EE7" w:rsidRPr="0057326F" w:rsidRDefault="003E0EE7" w:rsidP="000B0BDC">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Total</w:t>
      </w:r>
      <w:r w:rsidR="000B0BDC" w:rsidRPr="0057326F">
        <w:rPr>
          <w:rFonts w:ascii="Times New Roman" w:eastAsia="Times New Roman" w:hAnsi="Times New Roman" w:cs="Times New Roman"/>
          <w:snapToGrid w:val="0"/>
          <w:spacing w:val="-2"/>
          <w:sz w:val="24"/>
          <w:szCs w:val="24"/>
        </w:rPr>
        <w:t xml:space="preserve"> electricity</w:t>
      </w:r>
      <w:r w:rsidRPr="0057326F">
        <w:rPr>
          <w:rFonts w:ascii="Times New Roman" w:eastAsia="Times New Roman" w:hAnsi="Times New Roman" w:cs="Times New Roman"/>
          <w:snapToGrid w:val="0"/>
          <w:spacing w:val="-2"/>
          <w:sz w:val="24"/>
          <w:szCs w:val="24"/>
        </w:rPr>
        <w:t xml:space="preserve"> </w:t>
      </w:r>
      <w:r w:rsidR="000B0BDC" w:rsidRPr="0057326F">
        <w:rPr>
          <w:rFonts w:ascii="Times New Roman" w:eastAsia="Times New Roman" w:hAnsi="Times New Roman" w:cs="Times New Roman"/>
          <w:snapToGrid w:val="0"/>
          <w:spacing w:val="-2"/>
          <w:sz w:val="24"/>
          <w:szCs w:val="24"/>
        </w:rPr>
        <w:t xml:space="preserve">users in Sindh are 4.7 million which consumes 21.02 billion KWH. These users </w:t>
      </w:r>
      <w:r w:rsidR="003547AF" w:rsidRPr="0057326F">
        <w:rPr>
          <w:rFonts w:ascii="Times New Roman" w:eastAsia="Times New Roman" w:hAnsi="Times New Roman" w:cs="Times New Roman"/>
          <w:snapToGrid w:val="0"/>
          <w:spacing w:val="-2"/>
          <w:sz w:val="24"/>
          <w:szCs w:val="24"/>
        </w:rPr>
        <w:t xml:space="preserve">comprise in different categories of </w:t>
      </w:r>
      <w:r w:rsidR="000B0BDC" w:rsidRPr="0057326F">
        <w:rPr>
          <w:rFonts w:ascii="Times New Roman" w:eastAsia="Times New Roman" w:hAnsi="Times New Roman" w:cs="Times New Roman"/>
          <w:snapToGrid w:val="0"/>
          <w:spacing w:val="-2"/>
          <w:sz w:val="24"/>
          <w:szCs w:val="24"/>
        </w:rPr>
        <w:t xml:space="preserve">domestic, commercial, industrial, agricultural and others. The categories of electricity consumers are self-explanatory while “Other” includes public and bulk supply lighting. Domestic category has the largest number of consumers around 3.8 million out of 4.7 million consumers and they consume 53% of total electricity consumption. Second largest category is commercial users where the number of users are 0.7 million and they consume 11% of total electricity consumption. Industrial usage is ranked as third largest users where the number of consumers are only 0.05 million but their share is 27% in total electricity consumption which is more </w:t>
      </w:r>
      <w:r w:rsidR="003547AF" w:rsidRPr="0057326F">
        <w:rPr>
          <w:rFonts w:ascii="Times New Roman" w:eastAsia="Times New Roman" w:hAnsi="Times New Roman" w:cs="Times New Roman"/>
          <w:snapToGrid w:val="0"/>
          <w:spacing w:val="-2"/>
          <w:sz w:val="24"/>
          <w:szCs w:val="24"/>
        </w:rPr>
        <w:t xml:space="preserve">than </w:t>
      </w:r>
      <w:r w:rsidR="000B0BDC" w:rsidRPr="0057326F">
        <w:rPr>
          <w:rFonts w:ascii="Times New Roman" w:eastAsia="Times New Roman" w:hAnsi="Times New Roman" w:cs="Times New Roman"/>
          <w:snapToGrid w:val="0"/>
          <w:spacing w:val="-2"/>
          <w:sz w:val="24"/>
          <w:szCs w:val="24"/>
        </w:rPr>
        <w:t>commercial and agriculture users</w:t>
      </w:r>
      <w:r w:rsidR="003547AF" w:rsidRPr="0057326F">
        <w:rPr>
          <w:rFonts w:ascii="Times New Roman" w:eastAsia="Times New Roman" w:hAnsi="Times New Roman" w:cs="Times New Roman"/>
          <w:snapToGrid w:val="0"/>
          <w:spacing w:val="-2"/>
          <w:sz w:val="24"/>
          <w:szCs w:val="24"/>
        </w:rPr>
        <w:t>’ share</w:t>
      </w:r>
      <w:r w:rsidR="000B0BDC" w:rsidRPr="0057326F">
        <w:rPr>
          <w:rFonts w:ascii="Times New Roman" w:eastAsia="Times New Roman" w:hAnsi="Times New Roman" w:cs="Times New Roman"/>
          <w:snapToGrid w:val="0"/>
          <w:spacing w:val="-2"/>
          <w:sz w:val="24"/>
          <w:szCs w:val="24"/>
        </w:rPr>
        <w:t>.</w:t>
      </w:r>
    </w:p>
    <w:p w:rsidR="000B0BDC" w:rsidRPr="0057326F" w:rsidRDefault="000B0BDC" w:rsidP="000B0BDC">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 xml:space="preserve">Per consumer consumption is highest in industrial sector 113.8 </w:t>
      </w:r>
      <w:r w:rsidR="0057326F" w:rsidRPr="0057326F">
        <w:rPr>
          <w:rFonts w:ascii="Times New Roman" w:eastAsia="Times New Roman" w:hAnsi="Times New Roman" w:cs="Times New Roman"/>
          <w:snapToGrid w:val="0"/>
          <w:spacing w:val="-2"/>
          <w:sz w:val="24"/>
          <w:szCs w:val="24"/>
        </w:rPr>
        <w:t>thousand</w:t>
      </w:r>
      <w:r w:rsidRPr="0057326F">
        <w:rPr>
          <w:rFonts w:ascii="Times New Roman" w:eastAsia="Times New Roman" w:hAnsi="Times New Roman" w:cs="Times New Roman"/>
          <w:snapToGrid w:val="0"/>
          <w:spacing w:val="-2"/>
          <w:sz w:val="24"/>
          <w:szCs w:val="24"/>
        </w:rPr>
        <w:t xml:space="preserve"> KWH than agriculture sector 19.4 thousand KWH and commercial sector has 3.0 thousand KWH while minimum per consumer consumption is recorded in domestic sector, on average every household consumes </w:t>
      </w:r>
      <w:r w:rsidR="003547AF" w:rsidRPr="0057326F">
        <w:rPr>
          <w:rFonts w:ascii="Times New Roman" w:eastAsia="Times New Roman" w:hAnsi="Times New Roman" w:cs="Times New Roman"/>
          <w:snapToGrid w:val="0"/>
          <w:spacing w:val="-2"/>
          <w:sz w:val="24"/>
          <w:szCs w:val="24"/>
        </w:rPr>
        <w:t>2.9 thousand KWH per annum</w:t>
      </w:r>
      <w:r w:rsidRPr="0057326F">
        <w:rPr>
          <w:rFonts w:ascii="Times New Roman" w:eastAsia="Times New Roman" w:hAnsi="Times New Roman" w:cs="Times New Roman"/>
          <w:snapToGrid w:val="0"/>
          <w:spacing w:val="-2"/>
          <w:sz w:val="24"/>
          <w:szCs w:val="24"/>
        </w:rPr>
        <w:t>.</w:t>
      </w:r>
    </w:p>
    <w:p w:rsidR="000B0BDC" w:rsidRPr="0057326F" w:rsidRDefault="003547AF" w:rsidP="003547A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 xml:space="preserve">From the </w:t>
      </w:r>
      <w:r w:rsidR="000B0BDC" w:rsidRPr="0057326F">
        <w:rPr>
          <w:rFonts w:ascii="Times New Roman" w:eastAsia="Times New Roman" w:hAnsi="Times New Roman" w:cs="Times New Roman"/>
          <w:snapToGrid w:val="0"/>
          <w:spacing w:val="-2"/>
          <w:sz w:val="24"/>
          <w:szCs w:val="24"/>
        </w:rPr>
        <w:t>total consumers in Sindh</w:t>
      </w:r>
      <w:r w:rsidRPr="0057326F">
        <w:rPr>
          <w:rFonts w:ascii="Times New Roman" w:eastAsia="Times New Roman" w:hAnsi="Times New Roman" w:cs="Times New Roman"/>
          <w:snapToGrid w:val="0"/>
          <w:spacing w:val="-2"/>
          <w:sz w:val="24"/>
          <w:szCs w:val="24"/>
        </w:rPr>
        <w:t xml:space="preserve"> which are </w:t>
      </w:r>
      <w:r w:rsidR="000B0BDC" w:rsidRPr="0057326F">
        <w:rPr>
          <w:rFonts w:ascii="Times New Roman" w:eastAsia="Times New Roman" w:hAnsi="Times New Roman" w:cs="Times New Roman"/>
          <w:snapToGrid w:val="0"/>
          <w:spacing w:val="-2"/>
          <w:sz w:val="24"/>
          <w:szCs w:val="24"/>
        </w:rPr>
        <w:t>4.7 million</w:t>
      </w:r>
      <w:r w:rsidRPr="0057326F">
        <w:rPr>
          <w:rFonts w:ascii="Times New Roman" w:eastAsia="Times New Roman" w:hAnsi="Times New Roman" w:cs="Times New Roman"/>
          <w:snapToGrid w:val="0"/>
          <w:spacing w:val="-2"/>
          <w:sz w:val="24"/>
          <w:szCs w:val="24"/>
        </w:rPr>
        <w:t xml:space="preserve">, </w:t>
      </w:r>
      <w:r w:rsidR="000B0BDC" w:rsidRPr="0057326F">
        <w:rPr>
          <w:rFonts w:ascii="Times New Roman" w:eastAsia="Times New Roman" w:hAnsi="Times New Roman" w:cs="Times New Roman"/>
          <w:snapToGrid w:val="0"/>
          <w:spacing w:val="-2"/>
          <w:sz w:val="24"/>
          <w:szCs w:val="24"/>
        </w:rPr>
        <w:t xml:space="preserve">1.9 million consumers are registered in WAPDA and 2.8 million electricity users are registered by KE. </w:t>
      </w:r>
      <w:r w:rsidR="0057326F" w:rsidRPr="0057326F">
        <w:rPr>
          <w:rFonts w:ascii="Times New Roman" w:eastAsia="Times New Roman" w:hAnsi="Times New Roman" w:cs="Times New Roman"/>
          <w:snapToGrid w:val="0"/>
          <w:spacing w:val="-2"/>
          <w:sz w:val="24"/>
          <w:szCs w:val="24"/>
        </w:rPr>
        <w:t>Similarly,</w:t>
      </w:r>
      <w:r w:rsidR="000B0BDC" w:rsidRPr="0057326F">
        <w:rPr>
          <w:rFonts w:ascii="Times New Roman" w:eastAsia="Times New Roman" w:hAnsi="Times New Roman" w:cs="Times New Roman"/>
          <w:snapToGrid w:val="0"/>
          <w:spacing w:val="-2"/>
          <w:sz w:val="24"/>
          <w:szCs w:val="24"/>
        </w:rPr>
        <w:t xml:space="preserve"> the distribution of total consumption in Sindh, 14.3 billion KWH out of 21.02 are consumed in Karachi Division in comparison 6.7 billion KWH are consumed by the WAPDA users. </w:t>
      </w:r>
    </w:p>
    <w:p w:rsidR="00831B95" w:rsidRPr="00436B99" w:rsidRDefault="00436B99" w:rsidP="00436B99">
      <w:pPr>
        <w:spacing w:before="100" w:beforeAutospacing="1" w:after="100" w:afterAutospacing="1" w:line="360" w:lineRule="auto"/>
        <w:jc w:val="center"/>
        <w:rPr>
          <w:rFonts w:ascii="Times New Roman" w:eastAsia="Times New Roman" w:hAnsi="Times New Roman" w:cs="Times New Roman"/>
          <w:b/>
          <w:snapToGrid w:val="0"/>
          <w:spacing w:val="-2"/>
          <w:sz w:val="24"/>
          <w:szCs w:val="24"/>
        </w:rPr>
      </w:pPr>
      <w:r w:rsidRPr="00436B99">
        <w:rPr>
          <w:rFonts w:ascii="Times New Roman" w:eastAsia="Times New Roman" w:hAnsi="Times New Roman" w:cs="Times New Roman"/>
          <w:b/>
          <w:snapToGrid w:val="0"/>
          <w:spacing w:val="-2"/>
          <w:sz w:val="24"/>
          <w:szCs w:val="24"/>
        </w:rPr>
        <w:lastRenderedPageBreak/>
        <w:t>173</w:t>
      </w:r>
    </w:p>
    <w:p w:rsidR="000B0BDC" w:rsidRPr="0057326F" w:rsidRDefault="000B0BDC" w:rsidP="000B0BDC">
      <w:pPr>
        <w:spacing w:before="100" w:beforeAutospacing="1" w:after="100" w:afterAutospacing="1" w:line="360" w:lineRule="auto"/>
        <w:jc w:val="center"/>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noProof/>
          <w:spacing w:val="-2"/>
          <w:sz w:val="24"/>
          <w:szCs w:val="24"/>
        </w:rPr>
        <w:drawing>
          <wp:inline distT="0" distB="0" distL="0" distR="0">
            <wp:extent cx="5517840" cy="2009554"/>
            <wp:effectExtent l="0" t="0" r="698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E0EE7" w:rsidRPr="0057326F" w:rsidRDefault="000B0BDC" w:rsidP="003B501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Most of the electricity users are located in Karachi and fed by KE and average per consumer consumption is higher in Karachi Division that is why their share of electricity consumption in total consumption is more than their share of total consumers.</w:t>
      </w:r>
    </w:p>
    <w:p w:rsidR="00436B99" w:rsidRPr="00436B99" w:rsidRDefault="00436B99" w:rsidP="00436B99">
      <w:pPr>
        <w:spacing w:before="100" w:beforeAutospacing="1" w:after="0" w:line="360" w:lineRule="auto"/>
        <w:jc w:val="both"/>
        <w:rPr>
          <w:rFonts w:ascii="Times New Roman" w:eastAsia="Times New Roman" w:hAnsi="Times New Roman" w:cs="Times New Roman"/>
          <w:b/>
          <w:snapToGrid w:val="0"/>
          <w:spacing w:val="-2"/>
          <w:sz w:val="24"/>
          <w:szCs w:val="24"/>
        </w:rPr>
      </w:pPr>
      <w:r w:rsidRPr="00436B99">
        <w:rPr>
          <w:rFonts w:ascii="Times New Roman" w:eastAsia="Times New Roman" w:hAnsi="Times New Roman" w:cs="Times New Roman"/>
          <w:b/>
          <w:snapToGrid w:val="0"/>
          <w:spacing w:val="-2"/>
          <w:sz w:val="24"/>
          <w:szCs w:val="24"/>
        </w:rPr>
        <w:t>Gas:</w:t>
      </w:r>
    </w:p>
    <w:p w:rsidR="003E0EE7" w:rsidRPr="0057326F" w:rsidRDefault="000B0BDC" w:rsidP="000B0BDC">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 xml:space="preserve">Second important statistical tables regarding gas consumption and consumers are the part of this chapter. The gas consumers and consumption are segregated by two main </w:t>
      </w:r>
      <w:r w:rsidR="0057326F" w:rsidRPr="0057326F">
        <w:rPr>
          <w:rFonts w:ascii="Times New Roman" w:eastAsia="Times New Roman" w:hAnsi="Times New Roman" w:cs="Times New Roman"/>
          <w:snapToGrid w:val="0"/>
          <w:spacing w:val="-2"/>
          <w:sz w:val="24"/>
          <w:szCs w:val="24"/>
        </w:rPr>
        <w:t>distributions</w:t>
      </w:r>
      <w:r w:rsidRPr="0057326F">
        <w:rPr>
          <w:rFonts w:ascii="Times New Roman" w:eastAsia="Times New Roman" w:hAnsi="Times New Roman" w:cs="Times New Roman"/>
          <w:snapToGrid w:val="0"/>
          <w:spacing w:val="-2"/>
          <w:sz w:val="24"/>
          <w:szCs w:val="24"/>
        </w:rPr>
        <w:t xml:space="preserve"> in Sindh, which are Karachi-Gas and Indus-Gas. Moreover, the distribution is further classified</w:t>
      </w:r>
      <w:r w:rsidR="003547AF" w:rsidRPr="0057326F">
        <w:rPr>
          <w:rFonts w:ascii="Times New Roman" w:eastAsia="Times New Roman" w:hAnsi="Times New Roman" w:cs="Times New Roman"/>
          <w:snapToGrid w:val="0"/>
          <w:spacing w:val="-2"/>
          <w:sz w:val="24"/>
          <w:szCs w:val="24"/>
        </w:rPr>
        <w:t xml:space="preserve"> into</w:t>
      </w:r>
      <w:r w:rsidRPr="0057326F">
        <w:rPr>
          <w:rFonts w:ascii="Times New Roman" w:eastAsia="Times New Roman" w:hAnsi="Times New Roman" w:cs="Times New Roman"/>
          <w:snapToGrid w:val="0"/>
          <w:spacing w:val="-2"/>
          <w:sz w:val="24"/>
          <w:szCs w:val="24"/>
        </w:rPr>
        <w:t xml:space="preserve"> three </w:t>
      </w:r>
      <w:r w:rsidR="0057326F" w:rsidRPr="0057326F">
        <w:rPr>
          <w:rFonts w:ascii="Times New Roman" w:eastAsia="Times New Roman" w:hAnsi="Times New Roman" w:cs="Times New Roman"/>
          <w:snapToGrid w:val="0"/>
          <w:spacing w:val="-2"/>
          <w:sz w:val="24"/>
          <w:szCs w:val="24"/>
        </w:rPr>
        <w:t>consumer’s</w:t>
      </w:r>
      <w:r w:rsidRPr="0057326F">
        <w:rPr>
          <w:rFonts w:ascii="Times New Roman" w:eastAsia="Times New Roman" w:hAnsi="Times New Roman" w:cs="Times New Roman"/>
          <w:snapToGrid w:val="0"/>
          <w:spacing w:val="-2"/>
          <w:sz w:val="24"/>
          <w:szCs w:val="24"/>
        </w:rPr>
        <w:t xml:space="preserve"> categories of industrial, commercial and domestic. According to financial year 2018-19 total consumers in Sindh are 2.74 million which consumes 337.7 billion cubic feet gas.</w:t>
      </w:r>
    </w:p>
    <w:p w:rsidR="000B0BDC" w:rsidRPr="0057326F" w:rsidRDefault="000B0BDC" w:rsidP="003547AF">
      <w:pPr>
        <w:spacing w:before="100" w:beforeAutospacing="1" w:after="100" w:afterAutospacing="1" w:line="360" w:lineRule="auto"/>
        <w:jc w:val="both"/>
        <w:rPr>
          <w:rFonts w:ascii="Times New Roman" w:eastAsia="Times New Roman" w:hAnsi="Times New Roman" w:cs="Times New Roman"/>
          <w:snapToGrid w:val="0"/>
          <w:spacing w:val="-2"/>
          <w:sz w:val="24"/>
          <w:szCs w:val="24"/>
        </w:rPr>
      </w:pPr>
      <w:r w:rsidRPr="0057326F">
        <w:rPr>
          <w:rFonts w:ascii="Times New Roman" w:eastAsia="Times New Roman" w:hAnsi="Times New Roman" w:cs="Times New Roman"/>
          <w:snapToGrid w:val="0"/>
          <w:spacing w:val="-2"/>
          <w:sz w:val="24"/>
          <w:szCs w:val="24"/>
        </w:rPr>
        <w:t xml:space="preserve">Largest sector with respect to number of consumers is domestic with 2.71 million consumers out of </w:t>
      </w:r>
      <w:r w:rsidR="003547AF" w:rsidRPr="0057326F">
        <w:rPr>
          <w:rFonts w:ascii="Times New Roman" w:eastAsia="Times New Roman" w:hAnsi="Times New Roman" w:cs="Times New Roman"/>
          <w:snapToGrid w:val="0"/>
          <w:spacing w:val="-2"/>
          <w:sz w:val="24"/>
          <w:szCs w:val="24"/>
        </w:rPr>
        <w:t>2.74 means 99% gas consumers</w:t>
      </w:r>
      <w:r w:rsidRPr="0057326F">
        <w:rPr>
          <w:rFonts w:ascii="Times New Roman" w:eastAsia="Times New Roman" w:hAnsi="Times New Roman" w:cs="Times New Roman"/>
          <w:snapToGrid w:val="0"/>
          <w:spacing w:val="-2"/>
          <w:sz w:val="24"/>
          <w:szCs w:val="24"/>
        </w:rPr>
        <w:t xml:space="preserve"> </w:t>
      </w:r>
      <w:r w:rsidR="003547AF" w:rsidRPr="0057326F">
        <w:rPr>
          <w:rFonts w:ascii="Times New Roman" w:eastAsia="Times New Roman" w:hAnsi="Times New Roman" w:cs="Times New Roman"/>
          <w:snapToGrid w:val="0"/>
          <w:spacing w:val="-2"/>
          <w:sz w:val="24"/>
          <w:szCs w:val="24"/>
        </w:rPr>
        <w:t xml:space="preserve">belong to </w:t>
      </w:r>
      <w:r w:rsidRPr="0057326F">
        <w:rPr>
          <w:rFonts w:ascii="Times New Roman" w:eastAsia="Times New Roman" w:hAnsi="Times New Roman" w:cs="Times New Roman"/>
          <w:snapToGrid w:val="0"/>
          <w:spacing w:val="-2"/>
          <w:sz w:val="24"/>
          <w:szCs w:val="24"/>
        </w:rPr>
        <w:t>household</w:t>
      </w:r>
      <w:r w:rsidR="003547AF" w:rsidRPr="0057326F">
        <w:rPr>
          <w:rFonts w:ascii="Times New Roman" w:eastAsia="Times New Roman" w:hAnsi="Times New Roman" w:cs="Times New Roman"/>
          <w:snapToGrid w:val="0"/>
          <w:spacing w:val="-2"/>
          <w:sz w:val="24"/>
          <w:szCs w:val="24"/>
        </w:rPr>
        <w:t>s</w:t>
      </w:r>
      <w:r w:rsidRPr="0057326F">
        <w:rPr>
          <w:rFonts w:ascii="Times New Roman" w:eastAsia="Times New Roman" w:hAnsi="Times New Roman" w:cs="Times New Roman"/>
          <w:snapToGrid w:val="0"/>
          <w:spacing w:val="-2"/>
          <w:sz w:val="24"/>
          <w:szCs w:val="24"/>
        </w:rPr>
        <w:t>. There are very minimum</w:t>
      </w:r>
      <w:r w:rsidR="003547AF" w:rsidRPr="0057326F">
        <w:rPr>
          <w:rFonts w:ascii="Times New Roman" w:eastAsia="Times New Roman" w:hAnsi="Times New Roman" w:cs="Times New Roman"/>
          <w:snapToGrid w:val="0"/>
          <w:spacing w:val="-2"/>
          <w:sz w:val="24"/>
          <w:szCs w:val="24"/>
        </w:rPr>
        <w:t xml:space="preserve"> number of</w:t>
      </w:r>
      <w:r w:rsidRPr="0057326F">
        <w:rPr>
          <w:rFonts w:ascii="Times New Roman" w:eastAsia="Times New Roman" w:hAnsi="Times New Roman" w:cs="Times New Roman"/>
          <w:snapToGrid w:val="0"/>
          <w:spacing w:val="-2"/>
          <w:sz w:val="24"/>
          <w:szCs w:val="24"/>
        </w:rPr>
        <w:t xml:space="preserve"> commercial and industrial </w:t>
      </w:r>
      <w:r w:rsidR="003547AF" w:rsidRPr="0057326F">
        <w:rPr>
          <w:rFonts w:ascii="Times New Roman" w:eastAsia="Times New Roman" w:hAnsi="Times New Roman" w:cs="Times New Roman"/>
          <w:snapToGrid w:val="0"/>
          <w:spacing w:val="-2"/>
          <w:sz w:val="24"/>
          <w:szCs w:val="24"/>
        </w:rPr>
        <w:t>users</w:t>
      </w:r>
      <w:r w:rsidRPr="0057326F">
        <w:rPr>
          <w:rFonts w:ascii="Times New Roman" w:eastAsia="Times New Roman" w:hAnsi="Times New Roman" w:cs="Times New Roman"/>
          <w:snapToGrid w:val="0"/>
          <w:spacing w:val="-2"/>
          <w:sz w:val="24"/>
          <w:szCs w:val="24"/>
        </w:rPr>
        <w:t xml:space="preserve"> 0.02 million and 0.01 million respectively, take only 1% of total consumers. As far as consumption is concerned, the largest part of gas production is consumed by industrial sector 247.8 billion cubic feet despite of very minimum number of consumers because the nature of industrial units </w:t>
      </w:r>
      <w:r w:rsidR="0057326F" w:rsidRPr="0057326F">
        <w:rPr>
          <w:rFonts w:ascii="Times New Roman" w:eastAsia="Times New Roman" w:hAnsi="Times New Roman" w:cs="Times New Roman"/>
          <w:snapToGrid w:val="0"/>
          <w:spacing w:val="-2"/>
          <w:sz w:val="24"/>
          <w:szCs w:val="24"/>
        </w:rPr>
        <w:t>requires</w:t>
      </w:r>
      <w:r w:rsidRPr="0057326F">
        <w:rPr>
          <w:rFonts w:ascii="Times New Roman" w:eastAsia="Times New Roman" w:hAnsi="Times New Roman" w:cs="Times New Roman"/>
          <w:snapToGrid w:val="0"/>
          <w:spacing w:val="-2"/>
          <w:sz w:val="24"/>
          <w:szCs w:val="24"/>
        </w:rPr>
        <w:t xml:space="preserve"> bulk units of gas. The sector wise share of gas consumption </w:t>
      </w:r>
      <w:r w:rsidR="0057326F" w:rsidRPr="0057326F">
        <w:rPr>
          <w:rFonts w:ascii="Times New Roman" w:eastAsia="Times New Roman" w:hAnsi="Times New Roman" w:cs="Times New Roman"/>
          <w:snapToGrid w:val="0"/>
          <w:spacing w:val="-2"/>
          <w:sz w:val="24"/>
          <w:szCs w:val="24"/>
        </w:rPr>
        <w:t>is</w:t>
      </w:r>
      <w:r w:rsidRPr="0057326F">
        <w:rPr>
          <w:rFonts w:ascii="Times New Roman" w:eastAsia="Times New Roman" w:hAnsi="Times New Roman" w:cs="Times New Roman"/>
          <w:snapToGrid w:val="0"/>
          <w:spacing w:val="-2"/>
          <w:sz w:val="24"/>
          <w:szCs w:val="24"/>
        </w:rPr>
        <w:t xml:space="preserve"> 73.4% by Industrial, 23.8% by Dom</w:t>
      </w:r>
      <w:bookmarkStart w:id="0" w:name="_GoBack"/>
      <w:bookmarkEnd w:id="0"/>
      <w:r w:rsidRPr="0057326F">
        <w:rPr>
          <w:rFonts w:ascii="Times New Roman" w:eastAsia="Times New Roman" w:hAnsi="Times New Roman" w:cs="Times New Roman"/>
          <w:snapToGrid w:val="0"/>
          <w:spacing w:val="-2"/>
          <w:sz w:val="24"/>
          <w:szCs w:val="24"/>
        </w:rPr>
        <w:t>estic and 2.8% by commercial sector.</w:t>
      </w:r>
    </w:p>
    <w:p w:rsidR="00436B99" w:rsidRPr="00436B99" w:rsidRDefault="00436B99" w:rsidP="00436B99">
      <w:pPr>
        <w:spacing w:before="100" w:beforeAutospacing="1" w:after="0" w:line="360" w:lineRule="auto"/>
        <w:jc w:val="both"/>
        <w:rPr>
          <w:rFonts w:ascii="Times New Roman" w:eastAsia="Times New Roman" w:hAnsi="Times New Roman" w:cs="Times New Roman"/>
          <w:b/>
          <w:snapToGrid w:val="0"/>
          <w:spacing w:val="-2"/>
          <w:sz w:val="24"/>
          <w:szCs w:val="24"/>
        </w:rPr>
      </w:pPr>
      <w:r w:rsidRPr="00436B99">
        <w:rPr>
          <w:rFonts w:ascii="Times New Roman" w:eastAsia="Times New Roman" w:hAnsi="Times New Roman" w:cs="Times New Roman"/>
          <w:b/>
          <w:snapToGrid w:val="0"/>
          <w:spacing w:val="-2"/>
          <w:sz w:val="24"/>
          <w:szCs w:val="24"/>
        </w:rPr>
        <w:t>Mining:</w:t>
      </w:r>
    </w:p>
    <w:p w:rsidR="003B501F" w:rsidRPr="0057326F" w:rsidRDefault="000B0BDC" w:rsidP="000B0BDC">
      <w:pPr>
        <w:spacing w:before="100" w:beforeAutospacing="1" w:after="100" w:afterAutospacing="1" w:line="360" w:lineRule="auto"/>
        <w:jc w:val="both"/>
        <w:rPr>
          <w:rFonts w:ascii="Times New Roman" w:hAnsi="Times New Roman" w:cs="Times New Roman"/>
          <w:sz w:val="24"/>
          <w:szCs w:val="24"/>
        </w:rPr>
      </w:pPr>
      <w:r w:rsidRPr="0057326F">
        <w:rPr>
          <w:rFonts w:ascii="Times New Roman" w:eastAsia="Times New Roman" w:hAnsi="Times New Roman" w:cs="Times New Roman"/>
          <w:snapToGrid w:val="0"/>
          <w:spacing w:val="-2"/>
          <w:sz w:val="24"/>
          <w:szCs w:val="24"/>
        </w:rPr>
        <w:t xml:space="preserve">This chapter </w:t>
      </w:r>
      <w:r w:rsidR="003547AF" w:rsidRPr="0057326F">
        <w:rPr>
          <w:rFonts w:ascii="Times New Roman" w:eastAsia="Times New Roman" w:hAnsi="Times New Roman" w:cs="Times New Roman"/>
          <w:snapToGrid w:val="0"/>
          <w:spacing w:val="-2"/>
          <w:sz w:val="24"/>
          <w:szCs w:val="24"/>
        </w:rPr>
        <w:t xml:space="preserve">further </w:t>
      </w:r>
      <w:r w:rsidRPr="0057326F">
        <w:rPr>
          <w:rFonts w:ascii="Times New Roman" w:eastAsia="Times New Roman" w:hAnsi="Times New Roman" w:cs="Times New Roman"/>
          <w:snapToGrid w:val="0"/>
          <w:spacing w:val="-2"/>
          <w:sz w:val="24"/>
          <w:szCs w:val="24"/>
        </w:rPr>
        <w:t xml:space="preserve">covers annual minerals production in Sindh, total 18 to 20 minerals are mined and quarried in Sindh </w:t>
      </w:r>
      <w:r w:rsidR="003547AF" w:rsidRPr="0057326F">
        <w:rPr>
          <w:rFonts w:ascii="Times New Roman" w:eastAsia="Times New Roman" w:hAnsi="Times New Roman" w:cs="Times New Roman"/>
          <w:snapToGrid w:val="0"/>
          <w:spacing w:val="-2"/>
          <w:sz w:val="24"/>
          <w:szCs w:val="24"/>
        </w:rPr>
        <w:t xml:space="preserve">and </w:t>
      </w:r>
      <w:r w:rsidRPr="0057326F">
        <w:rPr>
          <w:rFonts w:ascii="Times New Roman" w:eastAsia="Times New Roman" w:hAnsi="Times New Roman" w:cs="Times New Roman"/>
          <w:snapToGrid w:val="0"/>
          <w:spacing w:val="-2"/>
          <w:sz w:val="24"/>
          <w:szCs w:val="24"/>
        </w:rPr>
        <w:t xml:space="preserve">time series </w:t>
      </w:r>
      <w:r w:rsidR="003547AF" w:rsidRPr="0057326F">
        <w:rPr>
          <w:rFonts w:ascii="Times New Roman" w:eastAsia="Times New Roman" w:hAnsi="Times New Roman" w:cs="Times New Roman"/>
          <w:snapToGrid w:val="0"/>
          <w:spacing w:val="-2"/>
          <w:sz w:val="24"/>
          <w:szCs w:val="24"/>
        </w:rPr>
        <w:t xml:space="preserve">data </w:t>
      </w:r>
      <w:r w:rsidRPr="0057326F">
        <w:rPr>
          <w:rFonts w:ascii="Times New Roman" w:eastAsia="Times New Roman" w:hAnsi="Times New Roman" w:cs="Times New Roman"/>
          <w:snapToGrid w:val="0"/>
          <w:spacing w:val="-2"/>
          <w:sz w:val="24"/>
          <w:szCs w:val="24"/>
        </w:rPr>
        <w:t>of each mineral is given in the table 7.15 of this chapter.</w:t>
      </w:r>
    </w:p>
    <w:sectPr w:rsidR="003B501F" w:rsidRPr="0057326F" w:rsidSect="00436B99">
      <w:pgSz w:w="12240" w:h="15840"/>
      <w:pgMar w:top="99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F"/>
    <w:rsid w:val="000258D2"/>
    <w:rsid w:val="000B0BDC"/>
    <w:rsid w:val="003547AF"/>
    <w:rsid w:val="003B501F"/>
    <w:rsid w:val="003E0EE7"/>
    <w:rsid w:val="00436B99"/>
    <w:rsid w:val="0057326F"/>
    <w:rsid w:val="00831B95"/>
    <w:rsid w:val="00BE49AC"/>
    <w:rsid w:val="00DB004C"/>
    <w:rsid w:val="00E43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86F6"/>
  <w15:chartTrackingRefBased/>
  <w15:docId w15:val="{C69A7058-88FE-4D2B-9BDE-563A077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3B501F"/>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4"/>
      <w:szCs w:val="20"/>
    </w:rPr>
  </w:style>
  <w:style w:type="character" w:customStyle="1" w:styleId="BodyText2Char">
    <w:name w:val="Body Text 2 Char"/>
    <w:basedOn w:val="DefaultParagraphFont"/>
    <w:link w:val="BodyText2"/>
    <w:semiHidden/>
    <w:rsid w:val="003B501F"/>
    <w:rPr>
      <w:rFonts w:ascii="Times New Roman" w:eastAsia="Times New Roman" w:hAnsi="Times New Roman" w:cs="Times New Roman"/>
      <w:snapToGrid w:val="0"/>
      <w:spacing w:val="-2"/>
      <w:sz w:val="24"/>
      <w:szCs w:val="20"/>
    </w:rPr>
  </w:style>
  <w:style w:type="table" w:styleId="TableGrid">
    <w:name w:val="Table Grid"/>
    <w:basedOn w:val="TableNormal"/>
    <w:uiPriority w:val="39"/>
    <w:rsid w:val="003B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Sheet1!$A$2</c:f>
              <c:strCache>
                <c:ptCount val="1"/>
                <c:pt idx="0">
                  <c:v>WAPDA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Sheet1!$B$1:$C$1</c:f>
              <c:strCache>
                <c:ptCount val="2"/>
                <c:pt idx="0">
                  <c:v>Consumers</c:v>
                </c:pt>
                <c:pt idx="1">
                  <c:v>Consumption</c:v>
                </c:pt>
              </c:strCache>
            </c:strRef>
          </c:cat>
          <c:val>
            <c:numRef>
              <c:f>Sheet1!$B$2:$C$2</c:f>
              <c:numCache>
                <c:formatCode>0%</c:formatCode>
                <c:ptCount val="2"/>
                <c:pt idx="0">
                  <c:v>0.4</c:v>
                </c:pt>
                <c:pt idx="1">
                  <c:v>0.32</c:v>
                </c:pt>
              </c:numCache>
            </c:numRef>
          </c:val>
          <c:extLst>
            <c:ext xmlns:c16="http://schemas.microsoft.com/office/drawing/2014/chart" uri="{C3380CC4-5D6E-409C-BE32-E72D297353CC}">
              <c16:uniqueId val="{00000000-D95B-4E5B-8CA1-A76DBB27D9E0}"/>
            </c:ext>
          </c:extLst>
        </c:ser>
        <c:ser>
          <c:idx val="1"/>
          <c:order val="1"/>
          <c:tx>
            <c:strRef>
              <c:f>Sheet1!$A$3</c:f>
              <c:strCache>
                <c:ptCount val="1"/>
                <c:pt idx="0">
                  <c:v>KE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Sheet1!$B$1:$C$1</c:f>
              <c:strCache>
                <c:ptCount val="2"/>
                <c:pt idx="0">
                  <c:v>Consumers</c:v>
                </c:pt>
                <c:pt idx="1">
                  <c:v>Consumption</c:v>
                </c:pt>
              </c:strCache>
            </c:strRef>
          </c:cat>
          <c:val>
            <c:numRef>
              <c:f>Sheet1!$B$3:$C$3</c:f>
              <c:numCache>
                <c:formatCode>0%</c:formatCode>
                <c:ptCount val="2"/>
                <c:pt idx="0">
                  <c:v>0.6</c:v>
                </c:pt>
                <c:pt idx="1">
                  <c:v>0.68</c:v>
                </c:pt>
              </c:numCache>
            </c:numRef>
          </c:val>
          <c:extLst>
            <c:ext xmlns:c16="http://schemas.microsoft.com/office/drawing/2014/chart" uri="{C3380CC4-5D6E-409C-BE32-E72D297353CC}">
              <c16:uniqueId val="{00000001-D95B-4E5B-8CA1-A76DBB27D9E0}"/>
            </c:ext>
          </c:extLst>
        </c:ser>
        <c:dLbls>
          <c:dLblPos val="ctr"/>
          <c:showLegendKey val="0"/>
          <c:showVal val="1"/>
          <c:showCatName val="0"/>
          <c:showSerName val="0"/>
          <c:showPercent val="0"/>
          <c:showBubbleSize val="0"/>
        </c:dLbls>
        <c:gapWidth val="150"/>
        <c:overlap val="100"/>
        <c:axId val="-1421905632"/>
        <c:axId val="-1421906720"/>
      </c:barChart>
      <c:catAx>
        <c:axId val="-142190563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21906720"/>
        <c:crosses val="autoZero"/>
        <c:auto val="1"/>
        <c:lblAlgn val="ctr"/>
        <c:lblOffset val="100"/>
        <c:noMultiLvlLbl val="0"/>
      </c:catAx>
      <c:valAx>
        <c:axId val="-1421906720"/>
        <c:scaling>
          <c:orientation val="minMax"/>
        </c:scaling>
        <c:delete val="1"/>
        <c:axPos val="l"/>
        <c:numFmt formatCode="0%" sourceLinked="1"/>
        <c:majorTickMark val="none"/>
        <c:minorTickMark val="none"/>
        <c:tickLblPos val="nextTo"/>
        <c:crossAx val="-142190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Abdul Qayoom Pitafi</cp:lastModifiedBy>
  <cp:revision>5</cp:revision>
  <dcterms:created xsi:type="dcterms:W3CDTF">2021-11-29T08:36:00Z</dcterms:created>
  <dcterms:modified xsi:type="dcterms:W3CDTF">2021-12-23T09:55:00Z</dcterms:modified>
</cp:coreProperties>
</file>