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EA" w:rsidRDefault="005761EA" w:rsidP="003B501F">
      <w:pPr>
        <w:jc w:val="center"/>
        <w:rPr>
          <w:rFonts w:ascii="Times New Roman" w:hAnsi="Times New Roman" w:cs="Times New Roman"/>
          <w:b/>
          <w:sz w:val="24"/>
          <w:szCs w:val="24"/>
        </w:rPr>
      </w:pPr>
      <w:r>
        <w:rPr>
          <w:rFonts w:ascii="Times New Roman" w:hAnsi="Times New Roman" w:cs="Times New Roman"/>
          <w:b/>
          <w:sz w:val="24"/>
          <w:szCs w:val="24"/>
        </w:rPr>
        <w:t>148</w:t>
      </w:r>
    </w:p>
    <w:p w:rsidR="003B501F" w:rsidRPr="00D04434" w:rsidRDefault="00D04434" w:rsidP="003B501F">
      <w:pPr>
        <w:jc w:val="center"/>
        <w:rPr>
          <w:rFonts w:ascii="Times New Roman" w:hAnsi="Times New Roman" w:cs="Times New Roman"/>
          <w:b/>
          <w:sz w:val="24"/>
          <w:szCs w:val="24"/>
        </w:rPr>
      </w:pPr>
      <w:r w:rsidRPr="00D04434">
        <w:rPr>
          <w:rFonts w:ascii="Times New Roman" w:hAnsi="Times New Roman" w:cs="Times New Roman"/>
          <w:b/>
          <w:sz w:val="24"/>
          <w:szCs w:val="24"/>
        </w:rPr>
        <w:t>Chapter Review</w:t>
      </w:r>
    </w:p>
    <w:p w:rsidR="00EF6DCF" w:rsidRPr="00EF6DCF" w:rsidRDefault="00EF6DCF" w:rsidP="003B501F">
      <w:pPr>
        <w:spacing w:before="100" w:beforeAutospacing="1" w:after="100" w:afterAutospacing="1" w:line="360" w:lineRule="auto"/>
        <w:jc w:val="both"/>
        <w:rPr>
          <w:rFonts w:ascii="Times New Roman" w:eastAsia="Times New Roman" w:hAnsi="Times New Roman" w:cs="Times New Roman"/>
          <w:b/>
          <w:snapToGrid w:val="0"/>
          <w:spacing w:val="-2"/>
          <w:sz w:val="24"/>
          <w:szCs w:val="24"/>
        </w:rPr>
      </w:pPr>
      <w:r w:rsidRPr="00EF6DCF">
        <w:rPr>
          <w:rFonts w:ascii="Times New Roman" w:eastAsia="Times New Roman" w:hAnsi="Times New Roman" w:cs="Times New Roman"/>
          <w:b/>
          <w:snapToGrid w:val="0"/>
          <w:spacing w:val="-2"/>
          <w:sz w:val="24"/>
          <w:szCs w:val="24"/>
        </w:rPr>
        <w:t>Manufacturing:</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A robust manufacturing sector promotes domestic production, exports and generates employment, hence stimulates the overall growth of an economy. In Pakistan, manufacturing sector contributes 12.79% to Gross Domestic Product (GDP) at 9.73 percent of GDP dominates the overall manufacturing sector and the sector employs 16.1 % of the country's labor force.</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Industrial Statistics is very essential tool to track industrial growth and implementation of policies in right directions. This sector has great importance for economic development of country. As per the composition of Pakistan’s economy in 2020-21, Agriculture Sector is 19.2%, Industries Sector is 19.1% and Services Sector is 61.7%.</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 xml:space="preserve">The role of Sindh province in the Large Scale Manufacturing is very vital. Karachi is the largest metropolitan city of Pakistan, according to </w:t>
      </w:r>
      <w:r w:rsidR="000258D2" w:rsidRPr="00D04434">
        <w:rPr>
          <w:rFonts w:ascii="Times New Roman" w:eastAsia="Times New Roman" w:hAnsi="Times New Roman" w:cs="Times New Roman"/>
          <w:snapToGrid w:val="0"/>
          <w:spacing w:val="-2"/>
          <w:sz w:val="24"/>
          <w:szCs w:val="24"/>
        </w:rPr>
        <w:t xml:space="preserve">an estimate of </w:t>
      </w:r>
      <w:r w:rsidRPr="00D04434">
        <w:rPr>
          <w:rFonts w:ascii="Times New Roman" w:eastAsia="Times New Roman" w:hAnsi="Times New Roman" w:cs="Times New Roman"/>
          <w:snapToGrid w:val="0"/>
          <w:spacing w:val="-2"/>
          <w:sz w:val="24"/>
          <w:szCs w:val="24"/>
        </w:rPr>
        <w:t xml:space="preserve">Karachi Chamber </w:t>
      </w:r>
      <w:r w:rsidR="000258D2" w:rsidRPr="00D04434">
        <w:rPr>
          <w:rFonts w:ascii="Times New Roman" w:eastAsia="Times New Roman" w:hAnsi="Times New Roman" w:cs="Times New Roman"/>
          <w:snapToGrid w:val="0"/>
          <w:spacing w:val="-2"/>
          <w:sz w:val="24"/>
          <w:szCs w:val="24"/>
        </w:rPr>
        <w:t xml:space="preserve">of Commerce and Industry (KCCI), </w:t>
      </w:r>
      <w:r w:rsidRPr="00D04434">
        <w:rPr>
          <w:rFonts w:ascii="Times New Roman" w:eastAsia="Times New Roman" w:hAnsi="Times New Roman" w:cs="Times New Roman"/>
          <w:snapToGrid w:val="0"/>
          <w:spacing w:val="-2"/>
          <w:sz w:val="24"/>
          <w:szCs w:val="24"/>
        </w:rPr>
        <w:t>it produces 15% with an annual Gross Domestic Product (GDP).</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Sindh Bureau of Statistics, Planning &amp; Development Department has been collecting and disseminating data regarding production and employment of large scale manufacturing sector. BOS collects data on 61 items in 22 large scale Industrial sectors from 537 establishments/ factories in Sindh. The sample of 537 firms was drawn from the last Census of Manufacturing Industries (CMI), 2005-06 and these industries account for 70.43% of total value added in terms of production during 2005-06.</w:t>
      </w:r>
    </w:p>
    <w:p w:rsidR="003B501F" w:rsidRPr="00D04434" w:rsidRDefault="003B501F" w:rsidP="003B501F">
      <w:pPr>
        <w:spacing w:before="100" w:beforeAutospacing="1" w:after="100" w:afterAutospacing="1" w:line="360" w:lineRule="auto"/>
        <w:jc w:val="both"/>
        <w:rPr>
          <w:rFonts w:ascii="Times New Roman" w:hAnsi="Times New Roman" w:cs="Times New Roman"/>
          <w:sz w:val="24"/>
          <w:szCs w:val="24"/>
        </w:rPr>
      </w:pPr>
      <w:r w:rsidRPr="00D04434">
        <w:rPr>
          <w:rFonts w:ascii="Times New Roman" w:eastAsia="Times New Roman" w:hAnsi="Times New Roman" w:cs="Times New Roman"/>
          <w:snapToGrid w:val="0"/>
          <w:spacing w:val="-2"/>
          <w:sz w:val="24"/>
          <w:szCs w:val="24"/>
        </w:rPr>
        <w:t>The new census of manufacturing of industries at bas</w:t>
      </w:r>
      <w:r w:rsidRPr="00D04434">
        <w:rPr>
          <w:rFonts w:ascii="Times New Roman" w:hAnsi="Times New Roman" w:cs="Times New Roman"/>
          <w:sz w:val="24"/>
          <w:szCs w:val="24"/>
        </w:rPr>
        <w:t xml:space="preserve">e of 2015-16 has been compiled. </w:t>
      </w:r>
      <w:r w:rsidRPr="00D04434">
        <w:rPr>
          <w:rFonts w:ascii="Times New Roman" w:eastAsia="Times New Roman" w:hAnsi="Times New Roman" w:cs="Times New Roman"/>
          <w:snapToGrid w:val="0"/>
          <w:spacing w:val="-2"/>
          <w:sz w:val="24"/>
          <w:szCs w:val="24"/>
        </w:rPr>
        <w:t>Sindh Business Register (SBR), 2017 established by Sindh Bureau of Statistics, Planning &amp; Development Department during the field operation CMI 2015-16</w:t>
      </w:r>
      <w:r w:rsidRPr="00D04434">
        <w:rPr>
          <w:rFonts w:ascii="Times New Roman" w:hAnsi="Times New Roman" w:cs="Times New Roman"/>
          <w:sz w:val="24"/>
          <w:szCs w:val="24"/>
        </w:rPr>
        <w:t xml:space="preserve">. </w:t>
      </w:r>
      <w:r w:rsidRPr="00D04434">
        <w:rPr>
          <w:rFonts w:ascii="Times New Roman" w:eastAsia="Times New Roman" w:hAnsi="Times New Roman" w:cs="Times New Roman"/>
          <w:snapToGrid w:val="0"/>
          <w:spacing w:val="-2"/>
          <w:sz w:val="24"/>
          <w:szCs w:val="24"/>
        </w:rPr>
        <w:t>According to new census total number of est</w:t>
      </w:r>
      <w:r w:rsidRPr="00D04434">
        <w:rPr>
          <w:rFonts w:ascii="Times New Roman" w:hAnsi="Times New Roman" w:cs="Times New Roman"/>
          <w:sz w:val="24"/>
          <w:szCs w:val="24"/>
        </w:rPr>
        <w:t xml:space="preserve">ablishments in Sindh are 6,299 and results </w:t>
      </w:r>
      <w:r w:rsidRPr="00D04434">
        <w:rPr>
          <w:rFonts w:ascii="Times New Roman" w:eastAsia="Times New Roman" w:hAnsi="Times New Roman" w:cs="Times New Roman"/>
          <w:snapToGrid w:val="0"/>
          <w:spacing w:val="-2"/>
          <w:sz w:val="24"/>
          <w:szCs w:val="24"/>
        </w:rPr>
        <w:t>shows that 67% establishments/ factories are located in Karachi Division and remaining 33% are located in other districts of Sindh</w:t>
      </w:r>
      <w:r w:rsidRPr="00D04434">
        <w:rPr>
          <w:rFonts w:ascii="Times New Roman" w:hAnsi="Times New Roman" w:cs="Times New Roman"/>
          <w:sz w:val="24"/>
          <w:szCs w:val="24"/>
        </w:rPr>
        <w:t>.</w:t>
      </w:r>
    </w:p>
    <w:p w:rsidR="00A0171D"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hAnsi="Times New Roman" w:cs="Times New Roman"/>
          <w:sz w:val="24"/>
          <w:szCs w:val="24"/>
        </w:rPr>
        <w:t xml:space="preserve">For the monthly computation of Quantum Index of Manufacturing (QIM) the data of LSM survey namely Monthly Industrial Production &amp; Employment (MIPE) is used. </w:t>
      </w:r>
      <w:r w:rsidRPr="00D04434">
        <w:rPr>
          <w:rFonts w:ascii="Times New Roman" w:eastAsia="Times New Roman" w:hAnsi="Times New Roman" w:cs="Times New Roman"/>
          <w:snapToGrid w:val="0"/>
          <w:spacing w:val="-2"/>
          <w:sz w:val="24"/>
          <w:szCs w:val="24"/>
        </w:rPr>
        <w:t xml:space="preserve">However, Sindh QIM’s trend of overall manufacturing index has random behavior with ups and downs; which main cause </w:t>
      </w:r>
    </w:p>
    <w:p w:rsidR="00A0171D" w:rsidRPr="00A0171D" w:rsidRDefault="00A0171D" w:rsidP="00A0171D">
      <w:pPr>
        <w:spacing w:before="100" w:beforeAutospacing="1" w:after="100" w:afterAutospacing="1" w:line="360" w:lineRule="auto"/>
        <w:jc w:val="center"/>
        <w:rPr>
          <w:rFonts w:ascii="Times New Roman" w:eastAsia="Times New Roman" w:hAnsi="Times New Roman" w:cs="Times New Roman"/>
          <w:b/>
          <w:snapToGrid w:val="0"/>
          <w:spacing w:val="-2"/>
          <w:sz w:val="24"/>
          <w:szCs w:val="24"/>
        </w:rPr>
      </w:pPr>
      <w:r w:rsidRPr="00A0171D">
        <w:rPr>
          <w:rFonts w:ascii="Times New Roman" w:eastAsia="Times New Roman" w:hAnsi="Times New Roman" w:cs="Times New Roman"/>
          <w:b/>
          <w:snapToGrid w:val="0"/>
          <w:spacing w:val="-2"/>
          <w:sz w:val="24"/>
          <w:szCs w:val="24"/>
        </w:rPr>
        <w:lastRenderedPageBreak/>
        <w:t>149</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in last year is recession in economy and uncertainty of macroeconomic variables. Significant declined of 17% was observed in 2018-19 as compared to last of 2017-18. Comparison of QIM in</w:t>
      </w:r>
      <w:r w:rsidR="00A0171D">
        <w:rPr>
          <w:rFonts w:ascii="Times New Roman" w:eastAsia="Times New Roman" w:hAnsi="Times New Roman" w:cs="Times New Roman"/>
          <w:snapToGrid w:val="0"/>
          <w:spacing w:val="-2"/>
          <w:sz w:val="24"/>
          <w:szCs w:val="24"/>
        </w:rPr>
        <w:t xml:space="preserve"> </w:t>
      </w:r>
      <w:bookmarkStart w:id="0" w:name="_GoBack"/>
      <w:bookmarkEnd w:id="0"/>
      <w:r w:rsidRPr="00D04434">
        <w:rPr>
          <w:rFonts w:ascii="Times New Roman" w:eastAsia="Times New Roman" w:hAnsi="Times New Roman" w:cs="Times New Roman"/>
          <w:snapToGrid w:val="0"/>
          <w:spacing w:val="-2"/>
          <w:sz w:val="24"/>
          <w:szCs w:val="24"/>
        </w:rPr>
        <w:t xml:space="preserve">last five years, the maximum quantum was reported in 2015-16 with QIM 348.4 and minimum quantum was reported in last year with QIM 278.2 index. Financial year 2018-19 </w:t>
      </w:r>
      <w:r w:rsidR="000258D2" w:rsidRPr="00D04434">
        <w:rPr>
          <w:rFonts w:ascii="Times New Roman" w:eastAsia="Times New Roman" w:hAnsi="Times New Roman" w:cs="Times New Roman"/>
          <w:snapToGrid w:val="0"/>
          <w:spacing w:val="-2"/>
          <w:sz w:val="24"/>
          <w:szCs w:val="24"/>
        </w:rPr>
        <w:t>was unlucky</w:t>
      </w:r>
      <w:r w:rsidRPr="00D04434">
        <w:rPr>
          <w:rFonts w:ascii="Times New Roman" w:eastAsia="Times New Roman" w:hAnsi="Times New Roman" w:cs="Times New Roman"/>
          <w:snapToGrid w:val="0"/>
          <w:spacing w:val="-2"/>
          <w:sz w:val="24"/>
          <w:szCs w:val="24"/>
        </w:rPr>
        <w:t xml:space="preserve"> regarding overall economic activity such as Pakistan faced declining GDP growth, rising inflation and instable exchange rate.</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The months wise QIM of financial year 2018-19 trend is also stochastic, no specific increasing or decreasing pattern was observed in last 12 months. Maximum QIM was reported in January, 2019 while the lowest was reported in August, 2018. Though monthly time series was continuously declining after January, 2019 except the last month (June) of the financial year 2018-19.</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 xml:space="preserve">Another important part of this chapter is employment in manufacturing sector </w:t>
      </w:r>
      <w:r w:rsidR="000258D2" w:rsidRPr="00D04434">
        <w:rPr>
          <w:rFonts w:ascii="Times New Roman" w:eastAsia="Times New Roman" w:hAnsi="Times New Roman" w:cs="Times New Roman"/>
          <w:snapToGrid w:val="0"/>
          <w:spacing w:val="-2"/>
          <w:sz w:val="24"/>
          <w:szCs w:val="24"/>
        </w:rPr>
        <w:t xml:space="preserve">Table 6.07 presents </w:t>
      </w:r>
      <w:r w:rsidRPr="00D04434">
        <w:rPr>
          <w:rFonts w:ascii="Times New Roman" w:eastAsia="Times New Roman" w:hAnsi="Times New Roman" w:cs="Times New Roman"/>
          <w:snapToGrid w:val="0"/>
          <w:spacing w:val="-2"/>
          <w:sz w:val="24"/>
          <w:szCs w:val="24"/>
        </w:rPr>
        <w:t>average monthly employment in selected large scale manufacturing industries. Time series of last five years shows the highest employment was reported in 2018-19 with number of employees 119,986; while the employment in manufacturing sector was reported lowest in 2016-17 with number of employees 64,269. This figure shows 9% increase in employment in 2018-19 as compared to last financial year 2017-18.</w:t>
      </w:r>
    </w:p>
    <w:p w:rsidR="003B501F" w:rsidRPr="00D04434" w:rsidRDefault="003B501F"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 xml:space="preserve">The total employment is classified in production workers and non-production workers. Those are directly associated with production activities labour, supervisors, machine man, production manager, technician etc. are considered as production workers while other managerial staff who manage the establishment is counted as non-production workers. In aggregate, production and non-production workers form total employment of the establishment. Out of total employment </w:t>
      </w:r>
      <w:r w:rsidR="000258D2" w:rsidRPr="00D04434">
        <w:rPr>
          <w:rFonts w:ascii="Times New Roman" w:eastAsia="Times New Roman" w:hAnsi="Times New Roman" w:cs="Times New Roman"/>
          <w:snapToGrid w:val="0"/>
          <w:spacing w:val="-2"/>
          <w:sz w:val="24"/>
          <w:szCs w:val="24"/>
        </w:rPr>
        <w:t xml:space="preserve">of LSM in Sindh, </w:t>
      </w:r>
      <w:r w:rsidRPr="00D04434">
        <w:rPr>
          <w:rFonts w:ascii="Times New Roman" w:eastAsia="Times New Roman" w:hAnsi="Times New Roman" w:cs="Times New Roman"/>
          <w:snapToGrid w:val="0"/>
          <w:spacing w:val="-2"/>
          <w:sz w:val="24"/>
          <w:szCs w:val="24"/>
        </w:rPr>
        <w:t>the share of production workers of last five years are given as under: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B501F" w:rsidRPr="00D04434" w:rsidTr="003B501F">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Year</w:t>
            </w:r>
          </w:p>
        </w:tc>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2014-15</w:t>
            </w:r>
          </w:p>
        </w:tc>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2015-16</w:t>
            </w:r>
          </w:p>
        </w:tc>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2016-17</w:t>
            </w:r>
          </w:p>
        </w:tc>
        <w:tc>
          <w:tcPr>
            <w:tcW w:w="1559"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2017-18</w:t>
            </w:r>
          </w:p>
        </w:tc>
        <w:tc>
          <w:tcPr>
            <w:tcW w:w="1559"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2018-19</w:t>
            </w:r>
          </w:p>
        </w:tc>
      </w:tr>
      <w:tr w:rsidR="003B501F" w:rsidRPr="00D04434" w:rsidTr="003B501F">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Production Workers</w:t>
            </w:r>
          </w:p>
        </w:tc>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69%</w:t>
            </w:r>
          </w:p>
        </w:tc>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76%</w:t>
            </w:r>
          </w:p>
        </w:tc>
        <w:tc>
          <w:tcPr>
            <w:tcW w:w="1558"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75%</w:t>
            </w:r>
          </w:p>
        </w:tc>
        <w:tc>
          <w:tcPr>
            <w:tcW w:w="1559"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77%</w:t>
            </w:r>
          </w:p>
        </w:tc>
        <w:tc>
          <w:tcPr>
            <w:tcW w:w="1559" w:type="dxa"/>
            <w:vAlign w:val="center"/>
          </w:tcPr>
          <w:p w:rsidR="003B501F" w:rsidRPr="00D04434" w:rsidRDefault="003B501F" w:rsidP="003B501F">
            <w:pPr>
              <w:spacing w:before="100" w:beforeAutospacing="1" w:after="100" w:afterAutospacing="1"/>
              <w:jc w:val="center"/>
              <w:rPr>
                <w:rFonts w:ascii="Times New Roman" w:eastAsia="Times New Roman" w:hAnsi="Times New Roman" w:cs="Times New Roman"/>
                <w:snapToGrid w:val="0"/>
                <w:spacing w:val="-2"/>
                <w:sz w:val="24"/>
                <w:szCs w:val="24"/>
              </w:rPr>
            </w:pPr>
            <w:r w:rsidRPr="00D04434">
              <w:rPr>
                <w:rFonts w:ascii="Times New Roman" w:eastAsia="Times New Roman" w:hAnsi="Times New Roman" w:cs="Times New Roman"/>
                <w:snapToGrid w:val="0"/>
                <w:spacing w:val="-2"/>
                <w:sz w:val="24"/>
                <w:szCs w:val="24"/>
              </w:rPr>
              <w:t>72%</w:t>
            </w:r>
          </w:p>
        </w:tc>
      </w:tr>
    </w:tbl>
    <w:p w:rsidR="003B501F" w:rsidRPr="00D04434" w:rsidRDefault="003B501F" w:rsidP="003B501F">
      <w:pPr>
        <w:spacing w:before="100" w:beforeAutospacing="1" w:after="100" w:afterAutospacing="1" w:line="360" w:lineRule="auto"/>
        <w:jc w:val="both"/>
        <w:rPr>
          <w:rFonts w:ascii="Times New Roman" w:hAnsi="Times New Roman" w:cs="Times New Roman"/>
          <w:sz w:val="24"/>
          <w:szCs w:val="24"/>
        </w:rPr>
      </w:pPr>
      <w:r w:rsidRPr="00D04434">
        <w:rPr>
          <w:rFonts w:ascii="Times New Roman" w:eastAsia="Times New Roman" w:hAnsi="Times New Roman" w:cs="Times New Roman"/>
          <w:snapToGrid w:val="0"/>
          <w:spacing w:val="-2"/>
          <w:sz w:val="24"/>
          <w:szCs w:val="24"/>
        </w:rPr>
        <w:t>Apart from trend of</w:t>
      </w:r>
      <w:r w:rsidR="000258D2" w:rsidRPr="00D04434">
        <w:rPr>
          <w:rFonts w:ascii="Times New Roman" w:eastAsia="Times New Roman" w:hAnsi="Times New Roman" w:cs="Times New Roman"/>
          <w:snapToGrid w:val="0"/>
          <w:spacing w:val="-2"/>
          <w:sz w:val="24"/>
          <w:szCs w:val="24"/>
        </w:rPr>
        <w:t xml:space="preserve"> total</w:t>
      </w:r>
      <w:r w:rsidRPr="00D04434">
        <w:rPr>
          <w:rFonts w:ascii="Times New Roman" w:eastAsia="Times New Roman" w:hAnsi="Times New Roman" w:cs="Times New Roman"/>
          <w:snapToGrid w:val="0"/>
          <w:spacing w:val="-2"/>
          <w:sz w:val="24"/>
          <w:szCs w:val="24"/>
        </w:rPr>
        <w:t xml:space="preserve"> employment in showing upward pattern, the employment may decline in future because the production activities are showing negative trend in current financial year and economy is also in recession which may cause loss of employment opportunities.</w:t>
      </w:r>
    </w:p>
    <w:sectPr w:rsidR="003B501F" w:rsidRPr="00D04434" w:rsidSect="005761EA">
      <w:pgSz w:w="12240" w:h="15840"/>
      <w:pgMar w:top="90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F"/>
    <w:rsid w:val="000258D2"/>
    <w:rsid w:val="003B501F"/>
    <w:rsid w:val="003D2EFC"/>
    <w:rsid w:val="005761EA"/>
    <w:rsid w:val="00A0171D"/>
    <w:rsid w:val="00A03FE4"/>
    <w:rsid w:val="00BE49AC"/>
    <w:rsid w:val="00C1104A"/>
    <w:rsid w:val="00D04434"/>
    <w:rsid w:val="00E430F6"/>
    <w:rsid w:val="00EF6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870B"/>
  <w15:chartTrackingRefBased/>
  <w15:docId w15:val="{C69A7058-88FE-4D2B-9BDE-563A077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3B501F"/>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4"/>
      <w:szCs w:val="20"/>
    </w:rPr>
  </w:style>
  <w:style w:type="character" w:customStyle="1" w:styleId="BodyText2Char">
    <w:name w:val="Body Text 2 Char"/>
    <w:basedOn w:val="DefaultParagraphFont"/>
    <w:link w:val="BodyText2"/>
    <w:semiHidden/>
    <w:rsid w:val="003B501F"/>
    <w:rPr>
      <w:rFonts w:ascii="Times New Roman" w:eastAsia="Times New Roman" w:hAnsi="Times New Roman" w:cs="Times New Roman"/>
      <w:snapToGrid w:val="0"/>
      <w:spacing w:val="-2"/>
      <w:sz w:val="24"/>
      <w:szCs w:val="20"/>
    </w:rPr>
  </w:style>
  <w:style w:type="table" w:styleId="TableGrid">
    <w:name w:val="Table Grid"/>
    <w:basedOn w:val="TableNormal"/>
    <w:uiPriority w:val="39"/>
    <w:rsid w:val="003B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Abdul Qayoom Pitafi</cp:lastModifiedBy>
  <cp:revision>8</cp:revision>
  <cp:lastPrinted>2021-12-23T09:10:00Z</cp:lastPrinted>
  <dcterms:created xsi:type="dcterms:W3CDTF">2021-11-29T08:35:00Z</dcterms:created>
  <dcterms:modified xsi:type="dcterms:W3CDTF">2021-12-23T09:11:00Z</dcterms:modified>
</cp:coreProperties>
</file>